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TEKNİLŞARTNAMESİ Phospho-p38 MAPK (Thr180/Tyr182)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100UL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ürün, Phospho-p38 MAPK (Thr180/Tyr182)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tavşan ve çalışabileceği teknikler WB, IHC, IF/ICC, IP,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şeklinde olmalı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dilüsyonları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WB 1:500-1:2000, IHC 1:50-1:200, IF/ICC 1:200, IP, ELISA</w:t>
      </w:r>
      <w:bookmarkStart w:id="0" w:name="_GoBack"/>
      <w:bookmarkEnd w:id="0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) 1:20000-1:40000 olmalı ve kullanıcı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opsiyonuna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 açık olmalı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Molekül ağırlığı 43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; 41kD(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olmalı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Beraberinde 10 paket pipet ucu ücretsiz verilmeli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p38 MAPK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Monoclonal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ürün, P38 MAPK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Fare ve çalışabileceği teknikler WB, IHC şeklinde olmalı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dilüsyonları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WB 1:5000-1:10000, IHC 1:50-1:200 olmalı ve kullanıcı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opsiyonuna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 açık olmalı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Molekül ağırlığı 43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; 41kD(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olmalı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Beraberinde 10 paket pipet ucu ücretsiz verilmeli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2"/>
        </w:numPr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PERK Mouse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monoclonal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ürün, PERK Mouse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monoclonal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Fare ve çalışabileceği teknikler WB, IHC, IF/ICC şeklinde olmalı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dilüsyonları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WB 1:500-1:2000, IHC 1:50-1:200, IF/ICC 1:100-1:500 olmalı ve kullanıcı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opsiyonuna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 açık olmalı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120kD; 125kD(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olmalı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Beraberinde 10 paket pipet ucu ücretsiz verilmeli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3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p44/42 MAPK (Erk1/2) Mouse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monoclonal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ürün, p44/42 MAPK (Erk1/2) Mouse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monoclonal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Fare ve çalışabileceği teknikler WB, IHC, ELISA şeklinde olmalı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dilüsyonları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ELISA 1:10000, WB 1:500-1:2000, IHC 1:200-1:1000 olmalı ve kullanıcı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opsiyonuna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 açık olmalı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42kD 44kD; 43kD,41kD(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olmalı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Beraberinde 10 paket pipet ucu ücretsiz verilmeli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4"/>
        </w:numPr>
        <w:ind w:left="405" w:hanging="405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Phospho-ERK1/2 (Thr202/Tyr204)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Phospho-ERK1/2 (Thr202/Tyr204)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Fare ve çalışabileceği teknikler WB, IHC, IF/ICC,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şeklinde olmalı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WB 1:500-1:2000, IHC 1:50-1:200, IF/ICC 1:200,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1:20000-1: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40000  olmalı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ve kullanıcı opsiyonuna da açık olmalı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42,44kD; 43kD,41kD(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).) olmalı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Beraberinde 10 paket pipet ucu ücretsiz verilmeli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5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Phospho-JNK1/2/3 (Thr183+Tyr185)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100ul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Phospho-JNK1/2/3 (Thr183+Tyr185)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TAVŞAN ve çalışabileceği teknikler WB, IHC, IF/ICC,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şeklinde olmalı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WB 1:500-1:2000, IHC 1:50-1:200, IF/ICC 1:200,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1:20000-1: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40000  olmalı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ve kullanıcı opsiyonuna da açık olmalı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46,54kD; 48kD,53kD(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))  olmalı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JNK1/2/3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100ul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JNK1/2/3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TAVŞAN ve çalışabileceği teknikler WB, IHC, IF/ICC,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şeklinde olmalı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WB 1:500-1:2000, IHC 1:50-1:200, IF/ICC 1:200,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1:20000-1: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40000  olmalı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ve kullanıcı opsiyonuna da açık olmalı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46,54kD; 48kD,53kD(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))  olmalı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TEKNİKŞARTNAME BETA ACTİN </w:t>
      </w:r>
      <w:proofErr w:type="spellStart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100ul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Beta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Actin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Antibody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yi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tespit etmeye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yönelik , ambalajı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ul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ürünün üretildiği canlı TAVŞAN ve çalışabileceği teknikler WB, IHC, IF/ICC,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şeklinde olmalı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 Human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Mouse,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numunelerinde çalışabilmeli. WB 1:500-1:2000, IHC 1:50-1:200, IF/ICC 1:200, ELISA(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peptide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 1:20000-1: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40000  olmalı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ve kullanıcı opsiyonuna da açık olmalı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Molekül ağırlığı 46,54kD; 48kD,53kD(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Calculated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))  olmalı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8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TEKNİKŞARTNAME BCA KİT</w:t>
      </w:r>
    </w:p>
    <w:p w:rsidR="005B406B" w:rsidRPr="005B406B" w:rsidRDefault="005B406B" w:rsidP="005B406B">
      <w:pPr>
        <w:pStyle w:val="Balk3"/>
        <w:numPr>
          <w:ilvl w:val="0"/>
          <w:numId w:val="9"/>
        </w:numPr>
        <w:tabs>
          <w:tab w:val="num" w:pos="720"/>
        </w:tabs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Teklif edilen kit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ile,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protein konsantrasyonunun belirlenmesi için iki bileşenli, yüksek hassasiyetli,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colorometrik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çalışan, deterjan uyumlu bir protein testi olmalı</w:t>
      </w:r>
    </w:p>
    <w:p w:rsidR="005B406B" w:rsidRPr="005B406B" w:rsidRDefault="005B406B" w:rsidP="005B406B">
      <w:pPr>
        <w:pStyle w:val="Balk3"/>
        <w:numPr>
          <w:ilvl w:val="0"/>
          <w:numId w:val="9"/>
        </w:numPr>
        <w:tabs>
          <w:tab w:val="num" w:pos="720"/>
        </w:tabs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BCA kit reaktifleri, protein araştırmalarında karşılaşılan çoğu numune türü ile protein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konsantrasyonunun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doğru bir şekilde belirlenmesini sağlamalıdır.</w:t>
      </w:r>
    </w:p>
    <w:p w:rsidR="005B406B" w:rsidRPr="005B406B" w:rsidRDefault="005B406B" w:rsidP="005B406B">
      <w:pPr>
        <w:pStyle w:val="Balk3"/>
        <w:numPr>
          <w:ilvl w:val="0"/>
          <w:numId w:val="9"/>
        </w:numPr>
        <w:tabs>
          <w:tab w:val="num" w:pos="720"/>
        </w:tabs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BCA testi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kiti , tüm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hücre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lizatları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afinite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-kolon fraksiyonları, saflaştırılmış protein numunelerindeki verimleri değerlendirmek ve endüstriyel uygulamalarda protein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kontaminasyonunu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izlemek için kullanılabilir olmalı</w:t>
      </w:r>
    </w:p>
    <w:p w:rsidR="005B406B" w:rsidRPr="005B406B" w:rsidRDefault="005B406B" w:rsidP="005B406B">
      <w:pPr>
        <w:pStyle w:val="Balk3"/>
        <w:numPr>
          <w:ilvl w:val="0"/>
          <w:numId w:val="9"/>
        </w:numPr>
        <w:tabs>
          <w:tab w:val="num" w:pos="720"/>
        </w:tabs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Teklif edilen kit Çoğu boya bağlama yöntemiyle karşılaştırıldığında, BCA testi protein bileşimi farklılıklarından çok daha az etkilenir ve daha yüksek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konsantrasyon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doğruluğu sağlar özellikte olmalı</w:t>
      </w:r>
    </w:p>
    <w:p w:rsidR="005B406B" w:rsidRPr="005B406B" w:rsidRDefault="005B406B" w:rsidP="005B406B">
      <w:pPr>
        <w:pStyle w:val="Balk3"/>
        <w:numPr>
          <w:ilvl w:val="0"/>
          <w:numId w:val="9"/>
        </w:numPr>
        <w:tabs>
          <w:tab w:val="num" w:pos="720"/>
        </w:tabs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ambalajı 500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rxn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luk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ve aşağıdaki parçalardan oluşmalı:</w:t>
      </w: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br/>
        <w:t xml:space="preserve">• BCA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Reagent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A, 2 x 500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br/>
        <w:t xml:space="preserve">• BCA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Reagent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B, 25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br/>
        <w:t xml:space="preserve">•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Albumin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Standard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Ampules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, 2mg/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10 x 1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mL</w:t>
      </w:r>
      <w:proofErr w:type="spellEnd"/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Kit ile birlikte DNAASE RNASE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free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su ücretsiz verilmeli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7"/>
        </w:numP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B406B" w:rsidRPr="005B406B" w:rsidRDefault="005B406B" w:rsidP="005B406B">
      <w:pPr>
        <w:pStyle w:val="Balk3"/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B406B" w:rsidRPr="005B406B" w:rsidRDefault="005B406B" w:rsidP="005B406B">
      <w:pPr>
        <w:pStyle w:val="Balk3"/>
        <w:ind w:left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TEKNİKŞARTNAME: MERCAPTO ETHANOL</w:t>
      </w:r>
    </w:p>
    <w:p w:rsidR="005B406B" w:rsidRPr="005B406B" w:rsidRDefault="005B406B" w:rsidP="005B406B">
      <w:pPr>
        <w:pStyle w:val="Balk3"/>
        <w:numPr>
          <w:ilvl w:val="0"/>
          <w:numId w:val="10"/>
        </w:numPr>
        <w:tabs>
          <w:tab w:val="num" w:pos="720"/>
        </w:tabs>
        <w:ind w:left="720"/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</w:t>
      </w:r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 xml:space="preserve">2-Mercaptoethanol olmalı, ürün 1 </w:t>
      </w:r>
      <w:proofErr w:type="spellStart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>lt</w:t>
      </w:r>
      <w:proofErr w:type="spellEnd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>lik</w:t>
      </w:r>
      <w:proofErr w:type="spellEnd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 xml:space="preserve"> ambalajda olmalı</w:t>
      </w:r>
    </w:p>
    <w:p w:rsidR="005B406B" w:rsidRPr="005B406B" w:rsidRDefault="005B406B" w:rsidP="005B406B">
      <w:pPr>
        <w:pStyle w:val="Balk3"/>
        <w:numPr>
          <w:ilvl w:val="0"/>
          <w:numId w:val="10"/>
        </w:numPr>
        <w:tabs>
          <w:tab w:val="num" w:pos="720"/>
        </w:tabs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,Moleküler</w:t>
      </w:r>
      <w:proofErr w:type="gram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grade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özellikte,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cas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no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 xml:space="preserve">60-24-2 ve </w:t>
      </w:r>
      <w:proofErr w:type="spellStart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>ec</w:t>
      </w:r>
      <w:proofErr w:type="spellEnd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>no</w:t>
      </w:r>
      <w:proofErr w:type="spellEnd"/>
      <w:r w:rsidRPr="005B406B">
        <w:rPr>
          <w:rStyle w:val="markedcontent"/>
          <w:rFonts w:ascii="Times New Roman" w:hAnsi="Times New Roman" w:cs="Times New Roman"/>
          <w:bCs/>
          <w:color w:val="auto"/>
          <w:sz w:val="22"/>
          <w:szCs w:val="22"/>
        </w:rPr>
        <w:t>: 200-464-6</w:t>
      </w: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10"/>
        </w:numPr>
        <w:tabs>
          <w:tab w:val="num" w:pos="720"/>
        </w:tabs>
        <w:ind w:left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Ürün ile birlikte reaktif rezervuarları ücretsiz verilmeli</w:t>
      </w:r>
    </w:p>
    <w:p w:rsidR="005B406B" w:rsidRPr="005B406B" w:rsidRDefault="005B406B" w:rsidP="005B406B">
      <w:pPr>
        <w:pStyle w:val="Balk3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TEKNİK ŞARTNAME RIPA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Buffer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100 ml</w:t>
      </w:r>
    </w:p>
    <w:p w:rsidR="005B406B" w:rsidRPr="005B406B" w:rsidRDefault="005B406B" w:rsidP="005B406B">
      <w:pPr>
        <w:pStyle w:val="Balk3"/>
        <w:numPr>
          <w:ilvl w:val="0"/>
          <w:numId w:val="11"/>
        </w:numPr>
        <w:tabs>
          <w:tab w:val="num" w:pos="720"/>
        </w:tabs>
        <w:ind w:left="720"/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</w:t>
      </w: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Depolama şekli oda ısısı olmalı</w:t>
      </w:r>
    </w:p>
    <w:p w:rsidR="005B406B" w:rsidRPr="005B406B" w:rsidRDefault="005B406B" w:rsidP="005B406B">
      <w:pPr>
        <w:pStyle w:val="Balk3"/>
        <w:ind w:left="360"/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2.Ürün 1X RIPA Tamponu dur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ve  Uygulama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ile memeli hücrelerinde Hem yapışık hem de süspansiyon kültüründen proteinlerin hızlı, verimli hücre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lizizi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ve çözünmesi için kullanılır olmalı</w:t>
      </w:r>
    </w:p>
    <w:p w:rsidR="005B406B" w:rsidRPr="005B406B" w:rsidRDefault="005B406B" w:rsidP="005B406B">
      <w:pPr>
        <w:pStyle w:val="Balk3"/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3. </w:t>
      </w: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4.Teklif veren firma Türkiye yetkili satıcılık belgesi istenildiğinde sunabilmeli</w:t>
      </w:r>
    </w:p>
    <w:p w:rsidR="005B406B" w:rsidRPr="005B406B" w:rsidRDefault="005B406B" w:rsidP="005B406B">
      <w:pPr>
        <w:pStyle w:val="Balk3"/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5.Teklif edilen ürün ile ilgili sorun yaşanması durumunda yetkili satıcı her tür teknik destek ve ürün değişimi konusunda mesuldür.</w:t>
      </w:r>
    </w:p>
    <w:p w:rsidR="005B406B" w:rsidRPr="005B406B" w:rsidRDefault="005B406B" w:rsidP="005B406B">
      <w:pPr>
        <w:pStyle w:val="Balk3"/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5B406B" w:rsidRPr="005B406B" w:rsidRDefault="005B406B" w:rsidP="005B406B">
      <w:pPr>
        <w:pStyle w:val="Balk3"/>
        <w:ind w:left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/>
          <w:bCs/>
          <w:color w:val="auto"/>
          <w:sz w:val="22"/>
          <w:szCs w:val="22"/>
        </w:rPr>
        <w:t>TEKNİKŞARTNAME ECL CHEMI SUBSTRATE 2 X 125ML, 2 X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chemilüminesans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görüntülemeye uygun olmalı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2 x 125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mL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ambalajda,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substrat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şekli HRP (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Horseradish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Peroxidase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) be 2 </w:t>
      </w:r>
      <w:proofErr w:type="gram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şişeden  olmalı</w:t>
      </w:r>
      <w:proofErr w:type="gramEnd"/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edilen ürün </w:t>
      </w: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ECL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ile , western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veya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dot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blot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membranlar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üzerinde yaban turpu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peroksidazının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(HRP)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kemilüminesans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bazlı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immünodeteksiyonu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için kullanılan bir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Chemiluminescent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substar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olmalı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En yoğun ışık </w:t>
      </w:r>
      <w:proofErr w:type="gram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emisyonunu</w:t>
      </w:r>
      <w:proofErr w:type="gram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 xml:space="preserve"> elde etmek için eşit hacimlerde kullanılan Reaktif A (</w:t>
      </w:r>
      <w:proofErr w:type="spellStart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luminol</w:t>
      </w:r>
      <w:proofErr w:type="spellEnd"/>
      <w:r w:rsidRPr="005B406B">
        <w:rPr>
          <w:rStyle w:val="jlqj4b"/>
          <w:rFonts w:ascii="Times New Roman" w:hAnsi="Times New Roman" w:cs="Times New Roman"/>
          <w:bCs/>
          <w:color w:val="auto"/>
          <w:sz w:val="22"/>
          <w:szCs w:val="22"/>
        </w:rPr>
        <w:t>) ve Reaktif B'den (bir güçlendirici) oluşan iki parçalı bir reaktif olmalı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Kit ile birlikte DNAASE RNASE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free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su ücretsiz verilmeli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Teklif veren firma soğuk zincir kurallarına uymalı ve asla kargo ile ürün </w:t>
      </w:r>
      <w:proofErr w:type="spellStart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kullanıcaya</w:t>
      </w:r>
      <w:proofErr w:type="spellEnd"/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yollanması durumunda kabul edilmeyecektir.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veren firma Türkiye yetkili satıcılık belgesi istenildiğinde sunabilmeli</w:t>
      </w:r>
    </w:p>
    <w:p w:rsidR="005B406B" w:rsidRPr="005B406B" w:rsidRDefault="005B406B" w:rsidP="005B406B">
      <w:pPr>
        <w:pStyle w:val="Balk3"/>
        <w:numPr>
          <w:ilvl w:val="0"/>
          <w:numId w:val="12"/>
        </w:numPr>
        <w:tabs>
          <w:tab w:val="num" w:pos="720"/>
        </w:tabs>
        <w:ind w:left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B406B">
        <w:rPr>
          <w:rFonts w:ascii="Times New Roman" w:hAnsi="Times New Roman" w:cs="Times New Roman"/>
          <w:bCs/>
          <w:color w:val="auto"/>
          <w:sz w:val="22"/>
          <w:szCs w:val="22"/>
        </w:rPr>
        <w:t>Teklif edilen ürün ile ilgili sorun yaşanması durumunda yetkili satıcı her tür teknik destek ve ürün değişimi konusunda mesuldür.</w:t>
      </w:r>
    </w:p>
    <w:p w:rsidR="001B426B" w:rsidRPr="005B406B" w:rsidRDefault="001B426B"/>
    <w:sectPr w:rsidR="001B426B" w:rsidRPr="005B406B" w:rsidSect="0048485F">
      <w:pgSz w:w="11907" w:h="16840" w:code="9"/>
      <w:pgMar w:top="567" w:right="851" w:bottom="851" w:left="851" w:header="709" w:footer="567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501"/>
    <w:multiLevelType w:val="hybridMultilevel"/>
    <w:tmpl w:val="38880276"/>
    <w:lvl w:ilvl="0" w:tplc="367A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F4F85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4C7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36F2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3D5A"/>
    <w:multiLevelType w:val="hybridMultilevel"/>
    <w:tmpl w:val="CD32A1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88B"/>
    <w:multiLevelType w:val="hybridMultilevel"/>
    <w:tmpl w:val="E522CA66"/>
    <w:lvl w:ilvl="0" w:tplc="6736EFA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D7260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3538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0904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384B"/>
    <w:multiLevelType w:val="hybridMultilevel"/>
    <w:tmpl w:val="9E22E56A"/>
    <w:lvl w:ilvl="0" w:tplc="B00067D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311EFB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307E7"/>
    <w:multiLevelType w:val="hybridMultilevel"/>
    <w:tmpl w:val="865CDAB2"/>
    <w:lvl w:ilvl="0" w:tplc="B0006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B"/>
    <w:rsid w:val="001B426B"/>
    <w:rsid w:val="0048485F"/>
    <w:rsid w:val="005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5AC7"/>
  <w15:chartTrackingRefBased/>
  <w15:docId w15:val="{C6C96FC6-0747-4D6D-89FD-6579C52D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6B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4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B40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5B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VarsaylanParagrafYazTipi"/>
    <w:rsid w:val="005B406B"/>
  </w:style>
  <w:style w:type="character" w:customStyle="1" w:styleId="markedcontent">
    <w:name w:val="markedcontent"/>
    <w:basedOn w:val="VarsaylanParagrafYazTipi"/>
    <w:rsid w:val="005B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zehir</dc:creator>
  <cp:keywords/>
  <dc:description/>
  <cp:lastModifiedBy>zeynep zehir</cp:lastModifiedBy>
  <cp:revision>1</cp:revision>
  <dcterms:created xsi:type="dcterms:W3CDTF">2022-12-16T06:02:00Z</dcterms:created>
  <dcterms:modified xsi:type="dcterms:W3CDTF">2022-12-16T06:08:00Z</dcterms:modified>
</cp:coreProperties>
</file>